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EA" w:rsidRPr="00E70A2B" w:rsidRDefault="00662B9D" w:rsidP="006E6F4C">
      <w:pPr>
        <w:rPr>
          <w:rFonts w:ascii="Arial" w:hAnsi="Arial" w:cs="Arial"/>
          <w:b/>
          <w:sz w:val="28"/>
        </w:rPr>
      </w:pPr>
      <w:r w:rsidRPr="00E70A2B">
        <w:rPr>
          <w:rFonts w:ascii="Arial" w:hAnsi="Arial" w:cs="Arial"/>
          <w:b/>
          <w:sz w:val="28"/>
        </w:rPr>
        <w:t>ANÁLISIS DE CONTEXTO EXTERNO</w:t>
      </w:r>
    </w:p>
    <w:p w:rsidR="002B019B" w:rsidRPr="00E70A2B" w:rsidRDefault="006E6F4C">
      <w:pPr>
        <w:rPr>
          <w:rFonts w:ascii="Arial" w:hAnsi="Arial" w:cs="Arial"/>
        </w:rPr>
      </w:pPr>
      <w:r w:rsidRPr="00E70A2B">
        <w:rPr>
          <w:rFonts w:ascii="Arial" w:hAnsi="Arial" w:cs="Arial"/>
        </w:rPr>
        <w:t>P</w:t>
      </w:r>
      <w:r w:rsidR="00D10120" w:rsidRPr="00E70A2B">
        <w:rPr>
          <w:rFonts w:ascii="Arial" w:hAnsi="Arial" w:cs="Arial"/>
        </w:rPr>
        <w:t xml:space="preserve">ara cada uno de los siguientes factores “externos”, por favor identificar las </w:t>
      </w:r>
      <w:r w:rsidR="00D10120" w:rsidRPr="007175F5">
        <w:rPr>
          <w:rFonts w:ascii="Arial" w:hAnsi="Arial" w:cs="Arial"/>
        </w:rPr>
        <w:t xml:space="preserve">posibles amenazas </w:t>
      </w:r>
      <w:r w:rsidR="00D10120" w:rsidRPr="00E70A2B">
        <w:rPr>
          <w:rFonts w:ascii="Arial" w:hAnsi="Arial" w:cs="Arial"/>
        </w:rPr>
        <w:t>que puedan afectar el cumplimiento de los objetivos del programa.</w:t>
      </w:r>
      <w:r w:rsidR="00826A9F" w:rsidRPr="00E70A2B">
        <w:rPr>
          <w:rFonts w:ascii="Arial" w:hAnsi="Arial" w:cs="Arial"/>
        </w:rPr>
        <w:t xml:space="preserve"> </w:t>
      </w:r>
      <w:r w:rsidR="00D10120" w:rsidRPr="00E70A2B">
        <w:rPr>
          <w:rFonts w:ascii="Arial" w:hAnsi="Arial" w:cs="Arial"/>
        </w:rPr>
        <w:t>Si considera otros factores</w:t>
      </w:r>
      <w:r w:rsidR="00A2427D" w:rsidRPr="00E70A2B">
        <w:rPr>
          <w:rFonts w:ascii="Arial" w:hAnsi="Arial" w:cs="Arial"/>
        </w:rPr>
        <w:t xml:space="preserve"> relacionado por favor inclúyalo</w:t>
      </w:r>
      <w:r w:rsidR="004B2C51" w:rsidRPr="00E70A2B">
        <w:rPr>
          <w:rFonts w:ascii="Arial" w:hAnsi="Arial" w:cs="Arial"/>
        </w:rPr>
        <w:t>s</w:t>
      </w:r>
      <w:r w:rsidR="00A2427D" w:rsidRPr="00E70A2B">
        <w:rPr>
          <w:rFonts w:ascii="Arial" w:hAnsi="Arial" w:cs="Arial"/>
        </w:rPr>
        <w:t>.</w:t>
      </w:r>
    </w:p>
    <w:tbl>
      <w:tblPr>
        <w:tblW w:w="131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641"/>
        <w:gridCol w:w="7222"/>
      </w:tblGrid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C4D79B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FACTORES 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DESCRIPCIÓN DE LA AMENAZA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tcBorders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A80DEE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FACTORES</w:t>
            </w:r>
            <w:r w:rsidRPr="00A80DE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es-CO"/>
              </w:rPr>
              <w:t xml:space="preserve"> </w:t>
            </w:r>
            <w:r w:rsidR="00C351A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SOCIOPOLÍTICOS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</w:tcPr>
          <w:p w:rsidR="003B09DC" w:rsidRPr="002B019B" w:rsidRDefault="00F02892" w:rsidP="00F02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</w:t>
            </w:r>
            <w:r w:rsidR="002900A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bios Gubernamentales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019B" w:rsidRPr="00781B9E" w:rsidRDefault="002B019B" w:rsidP="002B0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81B9E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0C5391">
              <w:rPr>
                <w:rFonts w:ascii="Arial" w:eastAsia="Times New Roman" w:hAnsi="Arial" w:cs="Arial"/>
                <w:color w:val="000000"/>
                <w:lang w:eastAsia="es-CO"/>
              </w:rPr>
              <w:t>No hay continuidad en los procesos.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</w:tcPr>
          <w:p w:rsidR="003B09DC" w:rsidRPr="002B019B" w:rsidRDefault="00F02892" w:rsidP="00F02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Barreras invisibles</w:t>
            </w:r>
          </w:p>
        </w:tc>
        <w:tc>
          <w:tcPr>
            <w:tcW w:w="8863" w:type="dxa"/>
            <w:gridSpan w:val="2"/>
            <w:shd w:val="clear" w:color="000000" w:fill="FFFFFF"/>
            <w:vAlign w:val="center"/>
            <w:hideMark/>
          </w:tcPr>
          <w:p w:rsidR="002B019B" w:rsidRPr="00781B9E" w:rsidRDefault="002B019B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81B9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781B9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 política de “Vacunación sin barreras”, requiere que el personal operativo se desplace a zonas de alto riesgo que amenazan su integridad física.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tcBorders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A80DEE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FACTORES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CULTURALES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  <w:r w:rsidR="00F0289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Presencia de diversos grupos étnicos con enfoque diferencial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19B" w:rsidRPr="002B019B" w:rsidRDefault="002B019B" w:rsidP="004D54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781B9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 memoria colectiva de grupos étnicos que se asientan en zonas subnormales, en especial grupos indígenas y negritudes, es una barrera para la toma de conciencia de la importancia de la vacunación. 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  <w:hideMark/>
          </w:tcPr>
          <w:p w:rsidR="002B019B" w:rsidRPr="002B019B" w:rsidRDefault="002B019B" w:rsidP="00781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  <w:r w:rsidR="00781B9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Cali como destino de poblaciones desplazadas.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Default="002B019B" w:rsidP="004D54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4D5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Los desplazados que llegan a Cali, vienen de zonas rurales del suroccidente colombiano y en su mayoría no están cubiertos con adecuados esquemas de vacunación.</w:t>
            </w:r>
          </w:p>
          <w:p w:rsidR="004D54E6" w:rsidRDefault="004D54E6" w:rsidP="004D54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4D54E6" w:rsidRPr="002B019B" w:rsidRDefault="004D54E6" w:rsidP="004D54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 anterior, les confiere un riesgo alto como posibles portadores de enfermedades inmunoprevenibles.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tcBorders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A80DEE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FACTORES</w:t>
            </w:r>
            <w:r w:rsidR="00F028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ECONÓ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MICOS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  <w:hideMark/>
          </w:tcPr>
          <w:p w:rsid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  <w:r w:rsidR="00F0289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Déficit económico en las aseguradoras e IPS</w:t>
            </w:r>
          </w:p>
          <w:p w:rsidR="000C5391" w:rsidRDefault="000C5391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:rsidR="000C5391" w:rsidRDefault="000C5391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:rsidR="000C5391" w:rsidRPr="002B019B" w:rsidRDefault="000C5391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Default="002B019B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 escasez de recurso humano y otros recursos, dificulta el cumplimiento de los objetivos y metas PAI.</w:t>
            </w:r>
          </w:p>
          <w:p w:rsidR="000C5391" w:rsidRDefault="000C5391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5391" w:rsidRDefault="000C5391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5391" w:rsidRDefault="000C5391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5391" w:rsidRDefault="000C5391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5391" w:rsidRPr="002B019B" w:rsidRDefault="000C5391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66849" w:rsidRPr="002B019B" w:rsidTr="00781B9E">
        <w:trPr>
          <w:trHeight w:val="537"/>
        </w:trPr>
        <w:tc>
          <w:tcPr>
            <w:tcW w:w="4335" w:type="dxa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FACTORES</w:t>
            </w:r>
            <w:r w:rsidRPr="002B0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LEGAL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ES</w:t>
            </w:r>
            <w:r w:rsidRPr="002B0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Y REGLAMENTARIO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8863" w:type="dxa"/>
            <w:gridSpan w:val="2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auto" w:fill="auto"/>
            <w:vAlign w:val="center"/>
            <w:hideMark/>
          </w:tcPr>
          <w:p w:rsidR="002B019B" w:rsidRPr="00D26F79" w:rsidRDefault="002B019B" w:rsidP="00B80D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6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F02892" w:rsidRPr="00D26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Incumplimiento en algunos casos puntuales de la normatividad PAI, por parte de algunas entidades.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Destinar los biológicos PAI, para lucro particular de las instituciones, amenaza la integridad y tra</w:t>
            </w:r>
            <w:r w:rsidR="00B80D6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sparencia del Programa.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auto" w:fill="auto"/>
            <w:vAlign w:val="center"/>
            <w:hideMark/>
          </w:tcPr>
          <w:p w:rsidR="002B019B" w:rsidRPr="00D26F79" w:rsidRDefault="002B019B" w:rsidP="002B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6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D26F79" w:rsidRPr="00D26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Inexistencia de marco legal sancionatorio para equipos de </w:t>
            </w:r>
            <w:r w:rsidR="007175F5" w:rsidRPr="00D26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cómputo</w:t>
            </w:r>
            <w:r w:rsidR="00D26F79" w:rsidRPr="00D26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17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 las IPS vacunadoras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Pr="002B019B" w:rsidRDefault="002B019B" w:rsidP="00D2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D26F7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Que permita la obligatoriedad de los equipos de cómputo o tecnologías que apuntan al registro </w:t>
            </w:r>
            <w:r w:rsidR="007175F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oportuno </w:t>
            </w:r>
            <w:r w:rsidR="00D26F7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la información vacunal</w:t>
            </w:r>
            <w:bookmarkStart w:id="0" w:name="_GoBack"/>
            <w:bookmarkEnd w:id="0"/>
            <w:r w:rsidR="00D26F7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del PAI.</w:t>
            </w:r>
          </w:p>
        </w:tc>
      </w:tr>
      <w:tr w:rsidR="00366849" w:rsidRPr="002B019B" w:rsidTr="00781B9E">
        <w:trPr>
          <w:trHeight w:val="537"/>
        </w:trPr>
        <w:tc>
          <w:tcPr>
            <w:tcW w:w="4335" w:type="dxa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FACTORES</w:t>
            </w:r>
            <w:r w:rsidRPr="002B0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TECNOLÓGICO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8863" w:type="dxa"/>
            <w:gridSpan w:val="2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  <w:hideMark/>
          </w:tcPr>
          <w:p w:rsidR="002B019B" w:rsidRPr="0034247F" w:rsidRDefault="002B019B" w:rsidP="00B80D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4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F02892" w:rsidRPr="0034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Fallas en la plataforma de información nominal PAIWEB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Pr="0034247F" w:rsidRDefault="002B019B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0C5391" w:rsidRP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Amenaza el oportuno reporte de información por parte de las IPS vacunadoras y por ende, retrasa la entrega de vacunas por parte del departamento al municipio.</w:t>
            </w:r>
          </w:p>
        </w:tc>
      </w:tr>
      <w:tr w:rsidR="00673EFF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</w:tcPr>
          <w:p w:rsidR="00673EFF" w:rsidRPr="0034247F" w:rsidRDefault="0034247F" w:rsidP="00B80D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4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Obsolescencia de software 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 w:rsidR="00673EFF" w:rsidRPr="0034247F" w:rsidRDefault="0034247F" w:rsidP="002B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24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Carencia de renovación periódica de las herramientas tecnológicas que faciliten y garanticen aún más la oportunidad en los datos.</w:t>
            </w:r>
          </w:p>
        </w:tc>
      </w:tr>
      <w:tr w:rsidR="00366849" w:rsidRPr="002B019B" w:rsidTr="00781B9E">
        <w:trPr>
          <w:trHeight w:val="537"/>
        </w:trPr>
        <w:tc>
          <w:tcPr>
            <w:tcW w:w="4335" w:type="dxa"/>
            <w:shd w:val="clear" w:color="000000" w:fill="4F6228"/>
            <w:noWrap/>
            <w:vAlign w:val="center"/>
            <w:hideMark/>
          </w:tcPr>
          <w:p w:rsidR="00366849" w:rsidRPr="002B019B" w:rsidRDefault="00366849" w:rsidP="00A8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FACTORES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MEDIO</w:t>
            </w:r>
            <w:r w:rsidRPr="002B0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AMBIENT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AL</w:t>
            </w:r>
            <w:r w:rsidRPr="002B0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8863" w:type="dxa"/>
            <w:gridSpan w:val="2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auto" w:fill="auto"/>
            <w:vAlign w:val="center"/>
            <w:hideMark/>
          </w:tcPr>
          <w:p w:rsidR="002B019B" w:rsidRPr="002B019B" w:rsidRDefault="002B019B" w:rsidP="00342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  <w:r w:rsidR="0034247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La zona del Jarillón y</w:t>
            </w:r>
            <w:r w:rsidR="00DC6AA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34247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Caños de aguas residuales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Pr="002B019B" w:rsidRDefault="002B019B" w:rsidP="00342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Las zonas dispuestas 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al oriente de Cali</w:t>
            </w:r>
            <w:r w:rsidR="00785F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son susceptibles 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desecho de basuras en la </w:t>
            </w:r>
            <w:r w:rsidR="00785F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ciudad,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donde algunos grupos poblacionales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especialmente desplazados, 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hacen asentamientos subnormales, </w:t>
            </w:r>
            <w:r w:rsidR="00785F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lo que 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</w:t>
            </w:r>
            <w:r w:rsidR="00785F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convierte en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una amenaza silenciosa para la salud de 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estos</w:t>
            </w:r>
            <w:r w:rsidR="000C53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habitantes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auto" w:fill="auto"/>
            <w:vAlign w:val="center"/>
            <w:hideMark/>
          </w:tcPr>
          <w:p w:rsidR="002B019B" w:rsidRPr="002B019B" w:rsidRDefault="002B019B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  <w:r w:rsidR="00311D5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Cambios climáticos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Pr="002B019B" w:rsidRDefault="002B019B" w:rsidP="00342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B01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Los súbitos cambios de temperatura y pluviosidad generan condiciones adversas para la salud, e</w:t>
            </w:r>
            <w:r w:rsidR="001A54D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specialmente de la zona oriente.</w:t>
            </w:r>
            <w:r w:rsidR="003424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66849" w:rsidRPr="002B019B" w:rsidTr="00781B9E">
        <w:trPr>
          <w:trHeight w:val="537"/>
        </w:trPr>
        <w:tc>
          <w:tcPr>
            <w:tcW w:w="4335" w:type="dxa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80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FACTORES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GEOGRÁFICOS</w:t>
            </w:r>
          </w:p>
        </w:tc>
        <w:tc>
          <w:tcPr>
            <w:tcW w:w="8863" w:type="dxa"/>
            <w:gridSpan w:val="2"/>
            <w:shd w:val="clear" w:color="000000" w:fill="4F6228"/>
            <w:noWrap/>
            <w:vAlign w:val="center"/>
            <w:hideMark/>
          </w:tcPr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  <w:p w:rsidR="00366849" w:rsidRPr="002B019B" w:rsidRDefault="00366849" w:rsidP="002B0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B019B" w:rsidRPr="002B019B" w:rsidTr="00781B9E">
        <w:trPr>
          <w:trHeight w:val="537"/>
        </w:trPr>
        <w:tc>
          <w:tcPr>
            <w:tcW w:w="4335" w:type="dxa"/>
            <w:shd w:val="clear" w:color="000000" w:fill="FFFFFF"/>
            <w:vAlign w:val="center"/>
            <w:hideMark/>
          </w:tcPr>
          <w:p w:rsidR="002B019B" w:rsidRPr="002B019B" w:rsidRDefault="002B019B" w:rsidP="004D54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B019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  <w:r w:rsidR="004D54E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Sitio de tránsito de migrantes extranjeros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  <w:hideMark/>
          </w:tcPr>
          <w:p w:rsidR="002B019B" w:rsidRPr="002B019B" w:rsidRDefault="004D54E6" w:rsidP="0013133D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  <w:lang w:eastAsia="es-CO"/>
              </w:rPr>
            </w:pPr>
            <w:r w:rsidRPr="004D5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Siendo Cali un municipio cercano al puerto de Buenaventura y paso directo a países vecinos como el Ecuador</w:t>
            </w:r>
            <w:r w:rsidR="0013133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Panamá</w:t>
            </w:r>
            <w:r w:rsidRPr="004D5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se convierte punto de partida y llegada para migrantes extranjeros, lo que facilita la importación de enfermedades </w:t>
            </w:r>
            <w:r w:rsidR="0013133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inmunoprevenibles</w:t>
            </w:r>
            <w:r w:rsidRPr="004D5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</w:tbl>
    <w:p w:rsidR="002B019B" w:rsidRDefault="002B019B" w:rsidP="00734332"/>
    <w:sectPr w:rsidR="002B019B" w:rsidSect="002B019B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1C" w:rsidRDefault="00CE3A1C" w:rsidP="002B019B">
      <w:pPr>
        <w:spacing w:after="0" w:line="240" w:lineRule="auto"/>
      </w:pPr>
      <w:r>
        <w:separator/>
      </w:r>
    </w:p>
  </w:endnote>
  <w:endnote w:type="continuationSeparator" w:id="0">
    <w:p w:rsidR="00CE3A1C" w:rsidRDefault="00CE3A1C" w:rsidP="002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1C" w:rsidRDefault="00CE3A1C" w:rsidP="002B019B">
      <w:pPr>
        <w:spacing w:after="0" w:line="240" w:lineRule="auto"/>
      </w:pPr>
      <w:r>
        <w:separator/>
      </w:r>
    </w:p>
  </w:footnote>
  <w:footnote w:type="continuationSeparator" w:id="0">
    <w:p w:rsidR="00CE3A1C" w:rsidRDefault="00CE3A1C" w:rsidP="002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49"/>
      <w:gridCol w:w="1945"/>
    </w:tblGrid>
    <w:tr w:rsidR="002B019B" w:rsidTr="00C97E6B">
      <w:tc>
        <w:tcPr>
          <w:tcW w:w="11448" w:type="dxa"/>
        </w:tcPr>
        <w:p w:rsidR="002B019B" w:rsidRPr="006F232D" w:rsidRDefault="002B019B" w:rsidP="00C97E6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2B019B" w:rsidRDefault="002B019B" w:rsidP="00C97E6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TALLER</w:t>
          </w:r>
        </w:p>
        <w:p w:rsidR="002B019B" w:rsidRDefault="006C151C" w:rsidP="00C97E6B">
          <w:pPr>
            <w:pStyle w:val="Encabezado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DETERMINACIÓN DE CONTEXTO ESTRATÉGICO</w:t>
          </w:r>
        </w:p>
      </w:tc>
      <w:tc>
        <w:tcPr>
          <w:tcW w:w="1984" w:type="dxa"/>
        </w:tcPr>
        <w:p w:rsidR="002B019B" w:rsidRDefault="002B019B" w:rsidP="00C97E6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795129" wp14:editId="362B6BF6">
                <wp:extent cx="574040" cy="755015"/>
                <wp:effectExtent l="0" t="0" r="0" b="6985"/>
                <wp:docPr id="1" name="Imagen 1" descr="universidad_antioqui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_antioqui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19B" w:rsidRDefault="002B0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B"/>
    <w:rsid w:val="000C5391"/>
    <w:rsid w:val="000F6E83"/>
    <w:rsid w:val="0013133D"/>
    <w:rsid w:val="001A54D5"/>
    <w:rsid w:val="002819E3"/>
    <w:rsid w:val="002900AC"/>
    <w:rsid w:val="002B019B"/>
    <w:rsid w:val="00311D56"/>
    <w:rsid w:val="0034247F"/>
    <w:rsid w:val="00366849"/>
    <w:rsid w:val="00382903"/>
    <w:rsid w:val="003B09DC"/>
    <w:rsid w:val="003D4F95"/>
    <w:rsid w:val="003F0D2E"/>
    <w:rsid w:val="003F6DC7"/>
    <w:rsid w:val="004A6B76"/>
    <w:rsid w:val="004B2C51"/>
    <w:rsid w:val="004D54E6"/>
    <w:rsid w:val="00542F93"/>
    <w:rsid w:val="00654FCE"/>
    <w:rsid w:val="00662B9D"/>
    <w:rsid w:val="00673EFF"/>
    <w:rsid w:val="006C151C"/>
    <w:rsid w:val="006E6F4C"/>
    <w:rsid w:val="007175F5"/>
    <w:rsid w:val="00734332"/>
    <w:rsid w:val="00781B9E"/>
    <w:rsid w:val="00785F74"/>
    <w:rsid w:val="00826A9F"/>
    <w:rsid w:val="008500EA"/>
    <w:rsid w:val="00A2427D"/>
    <w:rsid w:val="00A80DEE"/>
    <w:rsid w:val="00A90116"/>
    <w:rsid w:val="00AD1F1F"/>
    <w:rsid w:val="00B80D62"/>
    <w:rsid w:val="00C351A1"/>
    <w:rsid w:val="00CE3A1C"/>
    <w:rsid w:val="00D10120"/>
    <w:rsid w:val="00D26F79"/>
    <w:rsid w:val="00DB1EC6"/>
    <w:rsid w:val="00DC6AA7"/>
    <w:rsid w:val="00E70A2B"/>
    <w:rsid w:val="00F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774ECF2-1A03-4995-B30F-296A9D0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19B"/>
  </w:style>
  <w:style w:type="paragraph" w:styleId="Piedepgina">
    <w:name w:val="footer"/>
    <w:basedOn w:val="Normal"/>
    <w:link w:val="PiedepginaCar"/>
    <w:uiPriority w:val="99"/>
    <w:unhideWhenUsed/>
    <w:rsid w:val="002B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19B"/>
  </w:style>
  <w:style w:type="paragraph" w:styleId="Textodeglobo">
    <w:name w:val="Balloon Text"/>
    <w:basedOn w:val="Normal"/>
    <w:link w:val="TextodegloboCar"/>
    <w:uiPriority w:val="99"/>
    <w:semiHidden/>
    <w:unhideWhenUsed/>
    <w:rsid w:val="002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1EBA-F3BC-4E3B-8857-A190778B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Wilington</dc:creator>
  <cp:lastModifiedBy>quintero, karen </cp:lastModifiedBy>
  <cp:revision>12</cp:revision>
  <cp:lastPrinted>2016-09-22T16:55:00Z</cp:lastPrinted>
  <dcterms:created xsi:type="dcterms:W3CDTF">2016-09-21T19:53:00Z</dcterms:created>
  <dcterms:modified xsi:type="dcterms:W3CDTF">2016-09-22T20:18:00Z</dcterms:modified>
</cp:coreProperties>
</file>